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DC" w:rsidRPr="00D42EDC" w:rsidRDefault="00D42EDC" w:rsidP="001A2A9C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D42EDC">
        <w:rPr>
          <w:rFonts w:asciiTheme="minorHAnsi" w:hAnsiTheme="minorHAnsi" w:cstheme="minorHAnsi"/>
          <w:sz w:val="20"/>
          <w:szCs w:val="20"/>
        </w:rPr>
        <w:t>PROBLEMATIKA KOMERCIALIZACE MUZEÍ</w:t>
      </w:r>
    </w:p>
    <w:p w:rsidR="00D42EDC" w:rsidRPr="00D42EDC" w:rsidRDefault="00D42EDC" w:rsidP="001A2A9C">
      <w:pPr>
        <w:pStyle w:val="Normlnweb"/>
        <w:rPr>
          <w:rFonts w:asciiTheme="minorHAnsi" w:hAnsiTheme="minorHAnsi" w:cstheme="minorHAnsi"/>
          <w:i/>
          <w:sz w:val="20"/>
          <w:szCs w:val="20"/>
        </w:rPr>
      </w:pPr>
      <w:r w:rsidRPr="00D42EDC">
        <w:rPr>
          <w:rFonts w:asciiTheme="minorHAnsi" w:hAnsiTheme="minorHAnsi" w:cstheme="minorHAnsi"/>
          <w:i/>
          <w:sz w:val="20"/>
          <w:szCs w:val="20"/>
        </w:rPr>
        <w:t>(archív, dokument nezjištěného původu)</w:t>
      </w:r>
    </w:p>
    <w:p w:rsidR="001A2A9C" w:rsidRPr="00D42EDC" w:rsidRDefault="001A2A9C" w:rsidP="00D42EDC">
      <w:pPr>
        <w:pStyle w:val="Normlnweb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sz w:val="20"/>
          <w:szCs w:val="20"/>
        </w:rPr>
        <w:t>Komercializace, tedy rostoucí role peněz, není ve společnosti novinkou. Pře</w:t>
      </w:r>
      <w:r w:rsidRPr="00D42EDC">
        <w:rPr>
          <w:rFonts w:asciiTheme="minorHAnsi" w:hAnsiTheme="minorHAnsi" w:cstheme="minorHAnsi"/>
          <w:sz w:val="20"/>
          <w:szCs w:val="20"/>
        </w:rPr>
        <w:t>s</w:t>
      </w:r>
      <w:r w:rsidRPr="00D42EDC">
        <w:rPr>
          <w:rFonts w:asciiTheme="minorHAnsi" w:hAnsiTheme="minorHAnsi" w:cstheme="minorHAnsi"/>
          <w:sz w:val="20"/>
          <w:szCs w:val="20"/>
        </w:rPr>
        <w:t>to se v galerijním prostředí tématu dlouho nevěnovala dostatečná pozornost s přesvědčením, že vliv peněz není zásadní, respektive že se nejedná o specifický, natož pak negativní fenomén. Dělo se tak v n</w:t>
      </w:r>
      <w:r w:rsidRPr="00D42EDC">
        <w:rPr>
          <w:rFonts w:asciiTheme="minorHAnsi" w:hAnsiTheme="minorHAnsi" w:cstheme="minorHAnsi"/>
          <w:sz w:val="20"/>
          <w:szCs w:val="20"/>
        </w:rPr>
        <w:t>á</w:t>
      </w:r>
      <w:r w:rsidRPr="00D42EDC">
        <w:rPr>
          <w:rFonts w:asciiTheme="minorHAnsi" w:hAnsiTheme="minorHAnsi" w:cstheme="minorHAnsi"/>
          <w:sz w:val="20"/>
          <w:szCs w:val="20"/>
        </w:rPr>
        <w:t>vaznosti na naivitu raných devadesátých let, tedy s představou o „dobré vůli“ soukromého i komerčního sekt</w:t>
      </w:r>
      <w:r w:rsidRPr="00D42EDC">
        <w:rPr>
          <w:rFonts w:asciiTheme="minorHAnsi" w:hAnsiTheme="minorHAnsi" w:cstheme="minorHAnsi"/>
          <w:sz w:val="20"/>
          <w:szCs w:val="20"/>
        </w:rPr>
        <w:t>o</w:t>
      </w:r>
      <w:r w:rsidRPr="00D42EDC">
        <w:rPr>
          <w:rFonts w:asciiTheme="minorHAnsi" w:hAnsiTheme="minorHAnsi" w:cstheme="minorHAnsi"/>
          <w:sz w:val="20"/>
          <w:szCs w:val="20"/>
        </w:rPr>
        <w:t xml:space="preserve">ru. 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>Prudký růst zájmu investorů o činnost galerií a s ním související omezování nezávislosti veřejných galerií, se však v posledních letech stává čím dál tím výraznější. Jak se s takovou situací vyrovnávají galeristé a co je jim vytýk</w:t>
      </w:r>
      <w:r w:rsidRPr="00D42EDC">
        <w:rPr>
          <w:rFonts w:asciiTheme="minorHAnsi" w:hAnsiTheme="minorHAnsi" w:cstheme="minorHAnsi"/>
          <w:sz w:val="20"/>
          <w:szCs w:val="20"/>
        </w:rPr>
        <w:t>á</w:t>
      </w:r>
      <w:r w:rsidRPr="00D42EDC">
        <w:rPr>
          <w:rFonts w:asciiTheme="minorHAnsi" w:hAnsiTheme="minorHAnsi" w:cstheme="minorHAnsi"/>
          <w:sz w:val="20"/>
          <w:szCs w:val="20"/>
        </w:rPr>
        <w:t>no odbornou veřejností?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>Zaměřme se nejprve na samotné spojení „komercializace veřejných galerií“. Můžeme tvrdit, že se jedná o ozn</w:t>
      </w:r>
      <w:r w:rsidRPr="00D42EDC">
        <w:rPr>
          <w:rFonts w:asciiTheme="minorHAnsi" w:hAnsiTheme="minorHAnsi" w:cstheme="minorHAnsi"/>
          <w:sz w:val="20"/>
          <w:szCs w:val="20"/>
        </w:rPr>
        <w:t>a</w:t>
      </w:r>
      <w:r w:rsidRPr="00D42EDC">
        <w:rPr>
          <w:rFonts w:asciiTheme="minorHAnsi" w:hAnsiTheme="minorHAnsi" w:cstheme="minorHAnsi"/>
          <w:sz w:val="20"/>
          <w:szCs w:val="20"/>
        </w:rPr>
        <w:t>čení širokého spektra dění, jehož nejobecnějším jmenovatelem zůstává vyzdvihování role peněz a výdělku při správě veřejných galerií, tedy veřejnoprávních institucí. V návaznosti dochází k proměně samotné činnosti inst</w:t>
      </w:r>
      <w:r w:rsidRPr="00D42EDC">
        <w:rPr>
          <w:rFonts w:asciiTheme="minorHAnsi" w:hAnsiTheme="minorHAnsi" w:cstheme="minorHAnsi"/>
          <w:sz w:val="20"/>
          <w:szCs w:val="20"/>
        </w:rPr>
        <w:t>i</w:t>
      </w:r>
      <w:r w:rsidRPr="00D42EDC">
        <w:rPr>
          <w:rFonts w:asciiTheme="minorHAnsi" w:hAnsiTheme="minorHAnsi" w:cstheme="minorHAnsi"/>
          <w:sz w:val="20"/>
          <w:szCs w:val="20"/>
        </w:rPr>
        <w:t xml:space="preserve">tucí, které nejsou plně finančně zajišťovány z veřejných prostředků. 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>Při hledání nových zdrojů se často překračují etické hranice a instituce tak přestávají být veřejnoprávní. Formá</w:t>
      </w:r>
      <w:r w:rsidRPr="00D42EDC">
        <w:rPr>
          <w:rFonts w:asciiTheme="minorHAnsi" w:hAnsiTheme="minorHAnsi" w:cstheme="minorHAnsi"/>
          <w:sz w:val="20"/>
          <w:szCs w:val="20"/>
        </w:rPr>
        <w:t>l</w:t>
      </w:r>
      <w:r w:rsidRPr="00D42EDC">
        <w:rPr>
          <w:rFonts w:asciiTheme="minorHAnsi" w:hAnsiTheme="minorHAnsi" w:cstheme="minorHAnsi"/>
          <w:sz w:val="20"/>
          <w:szCs w:val="20"/>
        </w:rPr>
        <w:t>ně můžeme mluvit o třech výrazných formách komercializace. Výstavy se stávají produkty a jejich pořádání se proměňuje v marketingové tahy. Nejasně se propojují galerie komerční a veřejné, kdy spolupráce druhé vede ke zhodnocení majetku (a tak finančnímu prospěchu) první. Veřejné galerie se stávají správci nemovitého m</w:t>
      </w:r>
      <w:r w:rsidRPr="00D42EDC">
        <w:rPr>
          <w:rFonts w:asciiTheme="minorHAnsi" w:hAnsiTheme="minorHAnsi" w:cstheme="minorHAnsi"/>
          <w:sz w:val="20"/>
          <w:szCs w:val="20"/>
        </w:rPr>
        <w:t>a</w:t>
      </w:r>
      <w:r w:rsidRPr="00D42EDC">
        <w:rPr>
          <w:rFonts w:asciiTheme="minorHAnsi" w:hAnsiTheme="minorHAnsi" w:cstheme="minorHAnsi"/>
          <w:sz w:val="20"/>
          <w:szCs w:val="20"/>
        </w:rPr>
        <w:t>jetku, jehož provoz je pokrýván na základě komerčního pronájmu (vytváření umělých reklamních ploch, užívání prostor pro organizování svateb).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>Tradiční pnutí mezi galeriemi komerčními (produkujícími zisk) a veřejnoprávními (poskytujícími veřejnou slu</w:t>
      </w:r>
      <w:r w:rsidRPr="00D42EDC">
        <w:rPr>
          <w:rFonts w:asciiTheme="minorHAnsi" w:hAnsiTheme="minorHAnsi" w:cstheme="minorHAnsi"/>
          <w:sz w:val="20"/>
          <w:szCs w:val="20"/>
        </w:rPr>
        <w:t>ž</w:t>
      </w:r>
      <w:r w:rsidRPr="00D42EDC">
        <w:rPr>
          <w:rFonts w:asciiTheme="minorHAnsi" w:hAnsiTheme="minorHAnsi" w:cstheme="minorHAnsi"/>
          <w:sz w:val="20"/>
          <w:szCs w:val="20"/>
        </w:rPr>
        <w:t xml:space="preserve">bu), se zdá v současné době mizet. Galeristé jej často ignorují, odlišné roviny propojují a dělení nerespektují. Mimo jiné se tak devalvují dějiny umění jako vědecká instituce spjatá s veřejnoprávními galeriemi. Historik umění se stává uplatitelným hráčem bez názoru. Proto je nutné pochopit podstatu veřejnoprávních institucí a jejich odlišnost od institucí generujících zisk. 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 xml:space="preserve">V rámci setkání na VŠUP se účastníci s tématem vypořádávali nejednotnými způsoby; často v návaznosti na svou vlastní profesi. Právě různorodost názorů ukázala na šíři celého problému. Čtyři přednášející Tomáš </w:t>
      </w:r>
      <w:proofErr w:type="spellStart"/>
      <w:r w:rsidRPr="00D42EDC">
        <w:rPr>
          <w:rFonts w:asciiTheme="minorHAnsi" w:hAnsiTheme="minorHAnsi" w:cstheme="minorHAnsi"/>
          <w:sz w:val="20"/>
          <w:szCs w:val="20"/>
        </w:rPr>
        <w:t>P</w:t>
      </w:r>
      <w:r w:rsidRPr="00D42EDC">
        <w:rPr>
          <w:rFonts w:asciiTheme="minorHAnsi" w:hAnsiTheme="minorHAnsi" w:cstheme="minorHAnsi"/>
          <w:sz w:val="20"/>
          <w:szCs w:val="20"/>
        </w:rPr>
        <w:t>o</w:t>
      </w:r>
      <w:r w:rsidRPr="00D42EDC">
        <w:rPr>
          <w:rFonts w:asciiTheme="minorHAnsi" w:hAnsiTheme="minorHAnsi" w:cstheme="minorHAnsi"/>
          <w:sz w:val="20"/>
          <w:szCs w:val="20"/>
        </w:rPr>
        <w:t>spiszyl</w:t>
      </w:r>
      <w:proofErr w:type="spellEnd"/>
      <w:r w:rsidRPr="00D42EDC">
        <w:rPr>
          <w:rFonts w:asciiTheme="minorHAnsi" w:hAnsiTheme="minorHAnsi" w:cstheme="minorHAnsi"/>
          <w:sz w:val="20"/>
          <w:szCs w:val="20"/>
        </w:rPr>
        <w:t xml:space="preserve">, Dagmar Jelínková, Jan Slavíček a Milena Bartlová vytvořili obecnější rámec následné diskuse. 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>Postupně zazněla úvaha nad podstatou soukromého a veřejného v tržním prostředí, kde neexistuje pevná hr</w:t>
      </w:r>
      <w:r w:rsidRPr="00D42EDC">
        <w:rPr>
          <w:rFonts w:asciiTheme="minorHAnsi" w:hAnsiTheme="minorHAnsi" w:cstheme="minorHAnsi"/>
          <w:sz w:val="20"/>
          <w:szCs w:val="20"/>
        </w:rPr>
        <w:t>a</w:t>
      </w:r>
      <w:r w:rsidRPr="00D42EDC">
        <w:rPr>
          <w:rFonts w:asciiTheme="minorHAnsi" w:hAnsiTheme="minorHAnsi" w:cstheme="minorHAnsi"/>
          <w:sz w:val="20"/>
          <w:szCs w:val="20"/>
        </w:rPr>
        <w:t>nice mezi tím, zda ta která instituce plní podnikatelský či veřejný zájem (</w:t>
      </w:r>
      <w:proofErr w:type="spellStart"/>
      <w:r w:rsidRPr="00D42EDC">
        <w:rPr>
          <w:rFonts w:asciiTheme="minorHAnsi" w:hAnsiTheme="minorHAnsi" w:cstheme="minorHAnsi"/>
          <w:sz w:val="20"/>
          <w:szCs w:val="20"/>
        </w:rPr>
        <w:t>Pospiszyl</w:t>
      </w:r>
      <w:proofErr w:type="spellEnd"/>
      <w:r w:rsidRPr="00D42EDC">
        <w:rPr>
          <w:rFonts w:asciiTheme="minorHAnsi" w:hAnsiTheme="minorHAnsi" w:cstheme="minorHAnsi"/>
          <w:sz w:val="20"/>
          <w:szCs w:val="20"/>
        </w:rPr>
        <w:t>). Byl přednesen referát o historii ustanovování veřejných galerií v Československu spojený se seznámením posluchačů s dnešním fung</w:t>
      </w:r>
      <w:r w:rsidRPr="00D42EDC">
        <w:rPr>
          <w:rFonts w:asciiTheme="minorHAnsi" w:hAnsiTheme="minorHAnsi" w:cstheme="minorHAnsi"/>
          <w:sz w:val="20"/>
          <w:szCs w:val="20"/>
        </w:rPr>
        <w:t>o</w:t>
      </w:r>
      <w:r w:rsidRPr="00D42EDC">
        <w:rPr>
          <w:rFonts w:asciiTheme="minorHAnsi" w:hAnsiTheme="minorHAnsi" w:cstheme="minorHAnsi"/>
          <w:sz w:val="20"/>
          <w:szCs w:val="20"/>
        </w:rPr>
        <w:t xml:space="preserve">váním na hraně soukromého a veřejného (Jelínková) a následoval výčet nešvarů veřejných galerií ilustrovaný ukázkami komercializace (Skřivánek). 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>Vše vyústilo v provokativní proslov vztahující se k možnosti uvažovat o současnosti jako o stavu hybridním, kdy existující princip financování veřejných galerií nedovoluje jiný způsob jejich fungování, než v rovině kontrover</w:t>
      </w:r>
      <w:r w:rsidRPr="00D42EDC">
        <w:rPr>
          <w:rFonts w:asciiTheme="minorHAnsi" w:hAnsiTheme="minorHAnsi" w:cstheme="minorHAnsi"/>
          <w:sz w:val="20"/>
          <w:szCs w:val="20"/>
        </w:rPr>
        <w:t>z</w:t>
      </w:r>
      <w:r w:rsidRPr="00D42EDC">
        <w:rPr>
          <w:rFonts w:asciiTheme="minorHAnsi" w:hAnsiTheme="minorHAnsi" w:cstheme="minorHAnsi"/>
          <w:sz w:val="20"/>
          <w:szCs w:val="20"/>
        </w:rPr>
        <w:t>ního míšení peněz daňových poplatníků se zájmy soukromých subjektů (Bartlová).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>V reakci na kritiku ze strany odborné veřejnosti vystoupil Petr Nedoma, ředitel Galerie Rudolfinum a Marek Pokorný, ředitel Moravské galerie v Brně, kteří oba systematicky hájili spolupráci se soukromým i komerčním sektorem. Představitelé institucí, které výrazně čerpají finance z jiných než státních zdrojů své směřování v</w:t>
      </w:r>
      <w:r w:rsidRPr="00D42EDC">
        <w:rPr>
          <w:rFonts w:asciiTheme="minorHAnsi" w:hAnsiTheme="minorHAnsi" w:cstheme="minorHAnsi"/>
          <w:sz w:val="20"/>
          <w:szCs w:val="20"/>
        </w:rPr>
        <w:t>y</w:t>
      </w:r>
      <w:r w:rsidRPr="00D42EDC">
        <w:rPr>
          <w:rFonts w:asciiTheme="minorHAnsi" w:hAnsiTheme="minorHAnsi" w:cstheme="minorHAnsi"/>
          <w:sz w:val="20"/>
          <w:szCs w:val="20"/>
        </w:rPr>
        <w:t xml:space="preserve">světlovali mimo jiné syrovým konstatováním, že galerie se nemohou chovat jinak než zbytek společnosti. 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 xml:space="preserve">Úkolem galerií podle jejich ředitelů zůstává vykonávat veřejnou službu, parametry a náležitosti spolupráce se soukromým sektorem jsou pouze záležitostí zdravého rozumu, který má napovědět, co je ještě v pořádku a co již hranici únosnosti překročilo (Pokorný). „Stojí mi za to najít hranici mezi tím, kdy soukromý kapitál vniká do veřejnoprávní instituce/služby a nějakým způsobem tam funguje a jak dalece mě korumpuje či nekorumpuje. Zkuste najít nějaké měřítko.“(Nedoma) Víra v existenci jakéhosi instinktu, který postačí pro odhadnutí formy ideální spolupráce, se ve výsledné podobě nutně liší instituce od instituce. 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lastRenderedPageBreak/>
        <w:t>Přestože se zdá, že zástupcům veřejných galerií nečiní spolupráce se soukromým/komerčním sektorem větší problémy, přesvědčení o omezujícím se manévrovacím prostoru samotných institucí, projektů či přímo jejich kurátorů trvá (Marek Pokorný).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>V rámci debaty se vymezily dva póly vztahování se ke spolupráci veřejných galerií a soukromého sektoru. Na jednu stranu se přikláněli ti, kteří zarputile hájili představu o zdravém rozumu, jako ideálním a zcela dostate</w:t>
      </w:r>
      <w:r w:rsidRPr="00D42EDC">
        <w:rPr>
          <w:rFonts w:asciiTheme="minorHAnsi" w:hAnsiTheme="minorHAnsi" w:cstheme="minorHAnsi"/>
          <w:sz w:val="20"/>
          <w:szCs w:val="20"/>
        </w:rPr>
        <w:t>č</w:t>
      </w:r>
      <w:r w:rsidRPr="00D42EDC">
        <w:rPr>
          <w:rFonts w:asciiTheme="minorHAnsi" w:hAnsiTheme="minorHAnsi" w:cstheme="minorHAnsi"/>
          <w:sz w:val="20"/>
          <w:szCs w:val="20"/>
        </w:rPr>
        <w:t>ném nástroji rozhodování. Na stranu druhou se postavili zastánci sociálního státu a jeho povinnosti spravovat kulturu. „[ … ] je správné, že od ministerstva kultury nic nečekáme? Jsme snad pouze rádi, když nám moc n</w:t>
      </w:r>
      <w:r w:rsidRPr="00D42EDC">
        <w:rPr>
          <w:rFonts w:asciiTheme="minorHAnsi" w:hAnsiTheme="minorHAnsi" w:cstheme="minorHAnsi"/>
          <w:sz w:val="20"/>
          <w:szCs w:val="20"/>
        </w:rPr>
        <w:t>e</w:t>
      </w:r>
      <w:r w:rsidRPr="00D42EDC">
        <w:rPr>
          <w:rFonts w:asciiTheme="minorHAnsi" w:hAnsiTheme="minorHAnsi" w:cstheme="minorHAnsi"/>
          <w:sz w:val="20"/>
          <w:szCs w:val="20"/>
        </w:rPr>
        <w:t xml:space="preserve">překáží?“ (Bartlová) 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 xml:space="preserve">V závěrečném a v mnoha ohledech shrnujícím vystoupení Michala </w:t>
      </w:r>
      <w:proofErr w:type="spellStart"/>
      <w:r w:rsidRPr="00D42EDC">
        <w:rPr>
          <w:rFonts w:asciiTheme="minorHAnsi" w:hAnsiTheme="minorHAnsi" w:cstheme="minorHAnsi"/>
          <w:sz w:val="20"/>
          <w:szCs w:val="20"/>
        </w:rPr>
        <w:t>Breganta</w:t>
      </w:r>
      <w:proofErr w:type="spellEnd"/>
      <w:r w:rsidRPr="00D42EDC">
        <w:rPr>
          <w:rFonts w:asciiTheme="minorHAnsi" w:hAnsiTheme="minorHAnsi" w:cstheme="minorHAnsi"/>
          <w:sz w:val="20"/>
          <w:szCs w:val="20"/>
        </w:rPr>
        <w:t>, ředitele Národního filmového archivu, zazněl obecnější apel jasně rozlišovat mezi veřejnoprávními institucemi a institucemi státními. Zároveň upozornil na to, že stát ve snaze ušetřit, kde se dá, povzbuzuje vlastní instituce k tomu, aby hledaly finanční zdroje u soukromníků a sám tak napomáhá privatizaci veřejného prostoru. Proto můžeme tvrdit, že stát nepř</w:t>
      </w:r>
      <w:r w:rsidRPr="00D42EDC">
        <w:rPr>
          <w:rFonts w:asciiTheme="minorHAnsi" w:hAnsiTheme="minorHAnsi" w:cstheme="minorHAnsi"/>
          <w:sz w:val="20"/>
          <w:szCs w:val="20"/>
        </w:rPr>
        <w:t>i</w:t>
      </w:r>
      <w:r w:rsidRPr="00D42EDC">
        <w:rPr>
          <w:rFonts w:asciiTheme="minorHAnsi" w:hAnsiTheme="minorHAnsi" w:cstheme="minorHAnsi"/>
          <w:sz w:val="20"/>
          <w:szCs w:val="20"/>
        </w:rPr>
        <w:t>spívá ke kultivaci veřejného prostoru tak, jak by mu příslušelo. Systém založený na využívání soukromých pr</w:t>
      </w:r>
      <w:r w:rsidRPr="00D42EDC">
        <w:rPr>
          <w:rFonts w:asciiTheme="minorHAnsi" w:hAnsiTheme="minorHAnsi" w:cstheme="minorHAnsi"/>
          <w:sz w:val="20"/>
          <w:szCs w:val="20"/>
        </w:rPr>
        <w:t>o</w:t>
      </w:r>
      <w:r w:rsidRPr="00D42EDC">
        <w:rPr>
          <w:rFonts w:asciiTheme="minorHAnsi" w:hAnsiTheme="minorHAnsi" w:cstheme="minorHAnsi"/>
          <w:sz w:val="20"/>
          <w:szCs w:val="20"/>
        </w:rPr>
        <w:t>středků ve státních institucích přirozeně vede k podbízení se masám a ne ke kultivaci společnosti.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>Zatímco zaměstnankyně Národní galerie v Praze Dagmar Jelínková chce zákony definující náplň činnosti veře</w:t>
      </w:r>
      <w:r w:rsidRPr="00D42EDC">
        <w:rPr>
          <w:rFonts w:asciiTheme="minorHAnsi" w:hAnsiTheme="minorHAnsi" w:cstheme="minorHAnsi"/>
          <w:sz w:val="20"/>
          <w:szCs w:val="20"/>
        </w:rPr>
        <w:t>j</w:t>
      </w:r>
      <w:r w:rsidRPr="00D42EDC">
        <w:rPr>
          <w:rFonts w:asciiTheme="minorHAnsi" w:hAnsiTheme="minorHAnsi" w:cstheme="minorHAnsi"/>
          <w:sz w:val="20"/>
          <w:szCs w:val="20"/>
        </w:rPr>
        <w:t xml:space="preserve">ných galerií, Tomáš </w:t>
      </w:r>
      <w:proofErr w:type="spellStart"/>
      <w:r w:rsidRPr="00D42EDC">
        <w:rPr>
          <w:rFonts w:asciiTheme="minorHAnsi" w:hAnsiTheme="minorHAnsi" w:cstheme="minorHAnsi"/>
          <w:sz w:val="20"/>
          <w:szCs w:val="20"/>
        </w:rPr>
        <w:t>Pospiszyl</w:t>
      </w:r>
      <w:proofErr w:type="spellEnd"/>
      <w:r w:rsidRPr="00D42EDC">
        <w:rPr>
          <w:rFonts w:asciiTheme="minorHAnsi" w:hAnsiTheme="minorHAnsi" w:cstheme="minorHAnsi"/>
          <w:sz w:val="20"/>
          <w:szCs w:val="20"/>
        </w:rPr>
        <w:t xml:space="preserve"> touží po definování hranice mezi komerčním a veřejným a Milena Bartlová rad</w:t>
      </w:r>
      <w:r w:rsidRPr="00D42EDC">
        <w:rPr>
          <w:rFonts w:asciiTheme="minorHAnsi" w:hAnsiTheme="minorHAnsi" w:cstheme="minorHAnsi"/>
          <w:sz w:val="20"/>
          <w:szCs w:val="20"/>
        </w:rPr>
        <w:t>i</w:t>
      </w:r>
      <w:r w:rsidRPr="00D42EDC">
        <w:rPr>
          <w:rFonts w:asciiTheme="minorHAnsi" w:hAnsiTheme="minorHAnsi" w:cstheme="minorHAnsi"/>
          <w:sz w:val="20"/>
          <w:szCs w:val="20"/>
        </w:rPr>
        <w:t>kálně volá po řešení bezvýchodné situace v jejím nejširším rámci, tedy po obnovení role sociálního státu a jeho přihlášení se k povinnosti být správcem kultury a veřejné služby jako takové.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  <w:t xml:space="preserve">Jak se bude situace na poli veřejnoprávních institucí dále vyvíjet, není jasné. Současné směřování ukazuje na sklon k jeho privatizaci. Započatá debata je dobrým signálem, alespoň rámcově naznačila možné třecí plochy, ukázala potřebu o smyslu a poslání veřejnoprávních </w:t>
      </w:r>
      <w:proofErr w:type="spellStart"/>
      <w:r w:rsidRPr="00D42EDC">
        <w:rPr>
          <w:rFonts w:asciiTheme="minorHAnsi" w:hAnsiTheme="minorHAnsi" w:cstheme="minorHAnsi"/>
          <w:sz w:val="20"/>
          <w:szCs w:val="20"/>
        </w:rPr>
        <w:t>insitucí</w:t>
      </w:r>
      <w:proofErr w:type="spellEnd"/>
      <w:r w:rsidRPr="00D42EDC">
        <w:rPr>
          <w:rFonts w:asciiTheme="minorHAnsi" w:hAnsiTheme="minorHAnsi" w:cstheme="minorHAnsi"/>
          <w:sz w:val="20"/>
          <w:szCs w:val="20"/>
        </w:rPr>
        <w:t xml:space="preserve"> přemýšlet a to jak ze strany galeristů tak odborné veřejnosti.</w:t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sz w:val="20"/>
          <w:szCs w:val="20"/>
        </w:rPr>
        <w:br/>
      </w:r>
      <w:r w:rsidRPr="00D42EDC">
        <w:rPr>
          <w:rFonts w:asciiTheme="minorHAnsi" w:hAnsiTheme="minorHAnsi" w:cstheme="minorHAnsi"/>
          <w:b/>
          <w:bCs/>
          <w:color w:val="383838"/>
          <w:sz w:val="20"/>
          <w:szCs w:val="20"/>
        </w:rPr>
        <w:t xml:space="preserve">Nikolaj </w:t>
      </w:r>
      <w:proofErr w:type="spellStart"/>
      <w:r w:rsidRPr="00D42EDC">
        <w:rPr>
          <w:rFonts w:asciiTheme="minorHAnsi" w:hAnsiTheme="minorHAnsi" w:cstheme="minorHAnsi"/>
          <w:b/>
          <w:bCs/>
          <w:color w:val="383838"/>
          <w:sz w:val="20"/>
          <w:szCs w:val="20"/>
        </w:rPr>
        <w:t>Savický</w:t>
      </w:r>
      <w:proofErr w:type="spellEnd"/>
      <w:r w:rsidRPr="00D42EDC">
        <w:rPr>
          <w:rFonts w:asciiTheme="minorHAnsi" w:hAnsiTheme="minorHAnsi" w:cstheme="minorHAnsi"/>
          <w:b/>
          <w:bCs/>
          <w:color w:val="383838"/>
          <w:sz w:val="20"/>
          <w:szCs w:val="20"/>
        </w:rPr>
        <w:t>: Dva dokumenty k debatě o komercializaci veřejných galerií</w:t>
      </w:r>
    </w:p>
    <w:p w:rsidR="001A2A9C" w:rsidRPr="00D42EDC" w:rsidRDefault="001A2A9C" w:rsidP="001A2A9C">
      <w:pPr>
        <w:shd w:val="clear" w:color="auto" w:fill="FFFFFF"/>
        <w:spacing w:before="94" w:after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V úterý 17. ledna 2012 večer se na VŠUP v Praze uskutečnila panelová diskuse na téma „Kam kráčejí veřejné galerie?“ Tématem sice byla 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„komercializace veřejných galerií,“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 ale došlo i na výrazy jako 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„hybridizace“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 či 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„ne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o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liberální privatizace veřejného sektoru.“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 Shrnutí debaty snad podá někdo z jejích účastníků. Podstatnou otá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z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ku, která zazněla v podtextu mnoha diskutujících, lze ovšem shrnout asi takto: nakolik je přijatelné zapojení so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u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kromých finančních prostředků do podpory státních či krajských galerií, které mají vesměs formu příspěvk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o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vých organizací, a za jakých podmínek je (ještě) lze akceptovat?</w:t>
      </w:r>
    </w:p>
    <w:p w:rsidR="001A2A9C" w:rsidRPr="00D42EDC" w:rsidRDefault="001A2A9C" w:rsidP="001A2A9C">
      <w:pPr>
        <w:shd w:val="clear" w:color="auto" w:fill="FFFFFF"/>
        <w:spacing w:before="94" w:after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>Sám jednoduchou odpověď neznám a silně pochybuji, že by ji v konzistentní a přesvědčivé podobě byl schopen formulovat kdokoli z těch, kteří v posluchárně č. 115 ten večer seděli. Osobně se domnívám, že je nutné pos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u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zovat každou spoluúčast komerčních subjektů na financování výstav a soutěží ve veřejných galeriích a muzeích umění individuálně a že striktně stanovená a za všech okolností platná kritéria v této chvíli prakticky nastavit nelze. Zajímavé však bylo pozorovat ono automaticky přijímané přesvědčení všech účastníků, že mezi státním (respektive veřejným) a komerčním sektorem existuje hluboká a nepřekonatelná propast a že soukromé su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b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jekty vždy chtějí nějaké snadno dosažitelné zisky na úkor veřejného sektoru.</w:t>
      </w:r>
    </w:p>
    <w:p w:rsidR="001A2A9C" w:rsidRPr="00D42EDC" w:rsidRDefault="001A2A9C" w:rsidP="001A2A9C">
      <w:pPr>
        <w:shd w:val="clear" w:color="auto" w:fill="FFFFFF"/>
        <w:spacing w:before="94" w:after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>Účastníky diskuse nezviklala v tomto přesvědčení ani obecně známá skutečnost, že i státní instituce natolik spjatá s československou a později českou státností, jako je Národní galerie v Praze, byla z více než dvou set let své existence formálně 140 let a prakticky více než 130 let ryze soukromou organizací, respektive její složkou. Přitom se jeden z diskutujících, Jan Skřivánek, procesem postupného postátnění Obrazárny, které probíhalo od prvního návrhu z roku 1928 až k finálnímu řešení v podobě příslušného zákona z roku 1936, v minulosti sám badatelsky věnoval. Myšlenka postátnění soukromé Obrazárny ostatně procházela v letech 1931–1936, kdy nabývala konkrétní podoby, poměrně zásadním vývojem. Mnohé tehdy problematické otázky vypadají z dnešního pohledu téměř bizarně, jiné však neztratily nic ze své závažnosti ani po osmdesáti letech. Stejně jako tehdy i dnes chybějí peníze.</w:t>
      </w:r>
    </w:p>
    <w:p w:rsidR="001A2A9C" w:rsidRPr="00D42EDC" w:rsidRDefault="001A2A9C" w:rsidP="001A2A9C">
      <w:pPr>
        <w:shd w:val="clear" w:color="auto" w:fill="FFFFFF"/>
        <w:spacing w:before="94" w:after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>Nedostatek finančních prostředků pro centrální uměleckou sbírku není žádnou novinkou. Otevřeně se o něm začalo hovořit v roce 1919, tedy ve chvíli, kdy Obrazárna prakticky převzala úlohu ústředního československého státního muzea umění, ačkoliv formálně zůstávala soukromou institucí. V podobné situaci se tehdy ocitla také pražská Moderní galerie, která však měla modernější a životaschopnější právní formu a navíc disponovala vlas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t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ním nadačním jměním, takže její finanční situace nebyla tak tíživá. Dvojaké postavení Obrazárny a v menší míře 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lastRenderedPageBreak/>
        <w:t>i Moderní galerie dobře ilustruje jedna skutečnost. V průběhu 20. let československý stát v relativně velkém rozsahu nakupoval umělecká díla pro zamýšlenou Čsl. státní galerii. Deponoval je tehdy „dočasně“ buď v Obrazárně, nebo v Moderní galerii, čímž posiloval svůj vliv na řízení obou institucí. Dotace na nákup uměle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c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kých děl, jejichž příjemcem pro umění vzniklé před rokem 1800 byla právě Obrazárna, však neřešily naléhavé otázky jejího provozního financování.</w:t>
      </w:r>
    </w:p>
    <w:p w:rsidR="001A2A9C" w:rsidRPr="00D42EDC" w:rsidRDefault="001A2A9C" w:rsidP="001A2A9C">
      <w:pPr>
        <w:shd w:val="clear" w:color="auto" w:fill="FFFFFF"/>
        <w:spacing w:before="94" w:after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Už v roce 1921 se Vincenc Kramář dožadoval pro Obrazárnu finanční pomoci ze všech myslitelných zdrojů slovy: 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 xml:space="preserve">„Třeba je tedy rozsáhlé finanční podpory. Především musí si stát dobře </w:t>
      </w:r>
      <w:proofErr w:type="spellStart"/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uvědomiti</w:t>
      </w:r>
      <w:proofErr w:type="spellEnd"/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 xml:space="preserve"> své povinnosti k Obrazárně a </w:t>
      </w:r>
      <w:proofErr w:type="spellStart"/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doložiti</w:t>
      </w:r>
      <w:proofErr w:type="spellEnd"/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 xml:space="preserve"> tento správně chápaný poměr mnohem vyšší subvencí, než jaké se jí dosud dostává. Dále jsou to naše banky, průmyslové společnosti a závody, veřejné instituce všeho druhu, jímž přísluší, aby přispěly většími ročními částkami na Obrazárnu. Současně je však třeba, aby se hlásili hromadně zámožnější jednotlivci za členy Spole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č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nosti vlasteneckých přátel umění, a to platí také o zastupitelstvech okresních a obecních a jiných institucí, n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e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 xml:space="preserve">mohou-li </w:t>
      </w:r>
      <w:proofErr w:type="spellStart"/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věnovati</w:t>
      </w:r>
      <w:proofErr w:type="spellEnd"/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 xml:space="preserve"> více.“ 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Roční členský příspěvek Společnosti tehdy činil od 84 do 100 Kč.</w:t>
      </w:r>
    </w:p>
    <w:p w:rsidR="001A2A9C" w:rsidRPr="00D42EDC" w:rsidRDefault="001A2A9C" w:rsidP="001A2A9C">
      <w:pPr>
        <w:shd w:val="clear" w:color="auto" w:fill="FFFFFF"/>
        <w:spacing w:before="94" w:after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>Finanční nouze, způsobená ekonomickou krizí z let 1929–1933, stála i u skutečného zahájení procesu etatizace Obrazárny v roce 1932. Podmínky připravované smlouvy se během jednání postupně zhoršovaly pro Společnost vlasteneckých přátel umění a zlepšovaly pro stát. Na druhou stranu platil stát prostřednictvím Ministerstva školství a národní osvěty ve stále vzrůstající míře provozní náklady i úroky z dluhů Společnosti a dostával se tím vůči Společnosti do stále výhodnějšího postavení. Přesto bylo výsledné řešení velkorysé k provozním nárokům Společnosti a zohledňovalo také potřebu dalšího systematického rozvoje bývalé Obrazárny, nyní Státní sbírky starého umění, formálně založené 1. ledna 1937.</w:t>
      </w:r>
    </w:p>
    <w:p w:rsidR="001A2A9C" w:rsidRPr="00D42EDC" w:rsidRDefault="001A2A9C" w:rsidP="001A2A9C">
      <w:pPr>
        <w:shd w:val="clear" w:color="auto" w:fill="FFFFFF"/>
        <w:spacing w:before="94" w:after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Národní galerie v Praze se často odvolává na dosud platný zákon č. 148/1949 Sb., o Národní galerii v Praze, jímž byla ve své dnešní podobě založena. Nezbývá jí nic jiného a proto musí přehlížet z historického hlediska značně nevýhodnou dikci jeho klíčových ustanovení, které však nenajdeme v hlavní věcné části, ale v ustanoveních článků II. a III. téhož zákona. Tímto zákonem totiž byly zrušeny dvě instituce, z nichž jedna (Státní sbírka starého umění ) původně disponovala vlastními zákonem danými finančními prostředky a druhá (Moderní galerie) zase představovala nadaci s důležitými rysy veřejnoprávní instituce. Stát se tak ve skutečnosti zákonem č. 148/1949 Sb. nejen bez omezení zmocnil majetku obou těchto institucí, ale – a to je snad ještě důležitější – současně se zbavil závazků, které mu vůči někdejší Obrazárně ukládal zákon č. 127/1936 Sb., 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„jímž Československý stát n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a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bývá sbírek Společnosti vlasteneckých přátel umění v Čechách.“</w:t>
      </w:r>
    </w:p>
    <w:p w:rsidR="001A2A9C" w:rsidRPr="00D42EDC" w:rsidRDefault="001A2A9C" w:rsidP="001A2A9C">
      <w:pPr>
        <w:shd w:val="clear" w:color="auto" w:fill="FFFFFF"/>
        <w:spacing w:before="94" w:after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Zdánlivě formální věta z článku II, odst. 1, dodnes platného zákona o Národní galerii v Praze, 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 xml:space="preserve">„zákon č. 127/1936 Sb. se zrušuje,“ 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nebyla ve své podstatě ničím jiným, než zrušením zákonných závazků státu vůči prá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v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ní následnici někdejší Obrazárny. Od té doby se financování Národní galerie v Praze ze státních zdrojů stalo pouze záležitostí exekutivy, která rozhoduje o výši příspěvku na její provoz, aniž by v tomto směru byla vázána podobným ustanovením, jaké obsahoval zrušený zákon z roku 1936.</w:t>
      </w:r>
    </w:p>
    <w:p w:rsidR="001A2A9C" w:rsidRPr="00D42EDC" w:rsidRDefault="001A2A9C" w:rsidP="001A2A9C">
      <w:pPr>
        <w:shd w:val="clear" w:color="auto" w:fill="FFFFFF"/>
        <w:spacing w:before="94" w:after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>Když Senát v dubnu 1936 projednával návrh zákona o postátnění Obrazárny, přijal dvě pozoruhodná usnesení. První z nich, kulturního výboru, znamenitě ilustruje dobovou mentalitu a vztah zákonodárců k budoucí Státní sbírce starého umění. Senátoři tehdy byli toho názoru, že „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jest povinností, aby stát odstranil mezery o pamá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t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kách umělecké zdatnosti minulých dob a užil každé příležitosti, by doplněním sbírek zařadil národ náš mezi ku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l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 xml:space="preserve">turně nejvyspělejší, aby Prahu učinil střediskem kulturních děl, ať výtvarníci jsou příslušníky vlastního národa nebo národností cizích, čímž byl by náš stát před cizinou důstojně representován.“ 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Druhé usnesení, které přijal rozpočtový (sic!) výbor, pak konstatuje, že 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„převzetím sbírek získává stát majetek velké hmotné i kulturní ceny, vůči níž jsou převzaté povinnosti státu neúměrně malé.“</w:t>
      </w:r>
    </w:p>
    <w:p w:rsidR="001A2A9C" w:rsidRPr="00D42EDC" w:rsidRDefault="001A2A9C" w:rsidP="001A2A9C">
      <w:pPr>
        <w:shd w:val="clear" w:color="auto" w:fill="FFFFFF"/>
        <w:spacing w:before="94"/>
        <w:jc w:val="left"/>
        <w:rPr>
          <w:rFonts w:asciiTheme="minorHAnsi" w:hAnsiTheme="minorHAnsi" w:cstheme="minorHAnsi"/>
          <w:color w:val="383838"/>
          <w:sz w:val="20"/>
          <w:szCs w:val="20"/>
        </w:rPr>
      </w:pPr>
      <w:r w:rsidRPr="00D42EDC">
        <w:rPr>
          <w:rFonts w:asciiTheme="minorHAnsi" w:hAnsiTheme="minorHAnsi" w:cstheme="minorHAnsi"/>
          <w:color w:val="383838"/>
          <w:sz w:val="20"/>
          <w:szCs w:val="20"/>
        </w:rPr>
        <w:t>Závazky státu, vyplývající ze smlouvy se Společností vlasteneckých přátel umění a ze zákona č. 127/1936 Sb., byly sice zdánlivě malé, ovšem za jeden milion korun, jímž tehdy stát ze zákona ročně dotoval nákupní fond Státní sbírky starého umění, se v cenách roku 1937 daly pořídit např. dva špičkové obrazy francouzského impr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e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sionismu či postimpresionismu, a to navzdory skokovému růstu jejich cen na světovém trhu ve 20. a na počátku 30. let minulého století. Navíc byl tento vklad státu do nákupního fondu Státní sbírky starého umění mandato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r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ní a snížit či odstranit ho bylo možné pouze zákonem. Kromě toho se stát zavazoval vyplácet transformované Společnosti ročně 50.000 Kč (pro srovnání: částku, za kterou se tehdy dala pořídit dvě až tři luxusní auta) 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„n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>e</w:t>
      </w:r>
      <w:r w:rsidRPr="00D42EDC">
        <w:rPr>
          <w:rFonts w:asciiTheme="minorHAnsi" w:hAnsiTheme="minorHAnsi" w:cstheme="minorHAnsi"/>
          <w:i/>
          <w:iCs/>
          <w:color w:val="383838"/>
          <w:sz w:val="20"/>
          <w:szCs w:val="20"/>
        </w:rPr>
        <w:t xml:space="preserve">přímo k dobru sbírek tím, že obnosu bude použito na propagaci k získávání mecenášů a příznivců státní galerie.“ 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 xml:space="preserve">Pro inspiraci dnešních zákonodárců a k volnému užití </w:t>
      </w:r>
      <w:proofErr w:type="spellStart"/>
      <w:r w:rsidRPr="00D42EDC">
        <w:rPr>
          <w:rFonts w:asciiTheme="minorHAnsi" w:hAnsiTheme="minorHAnsi" w:cstheme="minorHAnsi"/>
          <w:color w:val="383838"/>
          <w:sz w:val="20"/>
          <w:szCs w:val="20"/>
        </w:rPr>
        <w:t>p.t</w:t>
      </w:r>
      <w:proofErr w:type="spellEnd"/>
      <w:r w:rsidRPr="00D42EDC">
        <w:rPr>
          <w:rFonts w:asciiTheme="minorHAnsi" w:hAnsiTheme="minorHAnsi" w:cstheme="minorHAnsi"/>
          <w:color w:val="383838"/>
          <w:sz w:val="20"/>
          <w:szCs w:val="20"/>
        </w:rPr>
        <w:t>. odbornou veřejností stojí za to úplný text obou usn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e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sení Senátu z konce dubna 1936 a zákona, jímž stát původně převzal Obrazárnu Společnosti vlasteneckých př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á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tel umě</w:t>
      </w:r>
      <w:r w:rsidR="00D42EDC">
        <w:rPr>
          <w:rFonts w:asciiTheme="minorHAnsi" w:hAnsiTheme="minorHAnsi" w:cstheme="minorHAnsi"/>
          <w:color w:val="383838"/>
          <w:sz w:val="20"/>
          <w:szCs w:val="20"/>
        </w:rPr>
        <w:t>ní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. Je totiž jen málo dokumentů, které by tak názorně ilustrovaly rozdíl v přístupu tehdejších a dne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š</w:t>
      </w:r>
      <w:r w:rsidRPr="00D42EDC">
        <w:rPr>
          <w:rFonts w:asciiTheme="minorHAnsi" w:hAnsiTheme="minorHAnsi" w:cstheme="minorHAnsi"/>
          <w:color w:val="383838"/>
          <w:sz w:val="20"/>
          <w:szCs w:val="20"/>
        </w:rPr>
        <w:t>ních zákonodárců k národnímu kulturnímu dědictví a k jeho odpovědné správě.</w:t>
      </w:r>
    </w:p>
    <w:p w:rsidR="009671AF" w:rsidRPr="00D42EDC" w:rsidRDefault="009671AF">
      <w:pPr>
        <w:rPr>
          <w:rFonts w:asciiTheme="minorHAnsi" w:hAnsiTheme="minorHAnsi" w:cstheme="minorHAnsi"/>
          <w:sz w:val="20"/>
          <w:szCs w:val="20"/>
        </w:rPr>
      </w:pPr>
    </w:p>
    <w:sectPr w:rsidR="009671AF" w:rsidRPr="00D42EDC" w:rsidSect="0088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4B"/>
    <w:multiLevelType w:val="multilevel"/>
    <w:tmpl w:val="5E3C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4920F5"/>
    <w:multiLevelType w:val="multilevel"/>
    <w:tmpl w:val="034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proofState w:spelling="clean"/>
  <w:stylePaneFormatFilter w:val="3F01"/>
  <w:defaultTabStop w:val="708"/>
  <w:autoHyphenation/>
  <w:hyphenationZone w:val="425"/>
  <w:drawingGridHorizontalSpacing w:val="57"/>
  <w:drawingGridVerticalSpacing w:val="57"/>
  <w:characterSpacingControl w:val="doNotCompress"/>
  <w:compat/>
  <w:rsids>
    <w:rsidRoot w:val="001A2A9C"/>
    <w:rsid w:val="00007FC8"/>
    <w:rsid w:val="001A2A9C"/>
    <w:rsid w:val="00263450"/>
    <w:rsid w:val="003B33C6"/>
    <w:rsid w:val="008868F3"/>
    <w:rsid w:val="008E73CC"/>
    <w:rsid w:val="009671AF"/>
    <w:rsid w:val="00B8314C"/>
    <w:rsid w:val="00D4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68F3"/>
    <w:rPr>
      <w:rFonts w:ascii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2A9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A2A9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A2A9C"/>
    <w:rPr>
      <w:i/>
      <w:iCs/>
    </w:rPr>
  </w:style>
  <w:style w:type="character" w:customStyle="1" w:styleId="post-author3">
    <w:name w:val="post-author3"/>
    <w:basedOn w:val="Standardnpsmoodstavce"/>
    <w:rsid w:val="001A2A9C"/>
    <w:rPr>
      <w:rFonts w:ascii="Verdana" w:hAnsi="Verdana" w:hint="default"/>
      <w:b w:val="0"/>
      <w:bCs w:val="0"/>
      <w:i w:val="0"/>
      <w:iCs w:val="0"/>
      <w:caps/>
      <w:strike w:val="0"/>
      <w:dstrike w:val="0"/>
      <w:color w:val="383838"/>
      <w:u w:val="none"/>
      <w:effect w:val="none"/>
    </w:rPr>
  </w:style>
  <w:style w:type="character" w:customStyle="1" w:styleId="stbutton1">
    <w:name w:val="stbutton1"/>
    <w:basedOn w:val="Standardnpsmoodstavce"/>
    <w:rsid w:val="001A2A9C"/>
    <w:rPr>
      <w:strike w:val="0"/>
      <w:dstrike w:val="0"/>
      <w:color w:val="000000"/>
      <w:sz w:val="10"/>
      <w:szCs w:val="1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1A2A9C"/>
    <w:rPr>
      <w:b/>
      <w:bCs/>
    </w:rPr>
  </w:style>
  <w:style w:type="paragraph" w:styleId="Textbubliny">
    <w:name w:val="Balloon Text"/>
    <w:basedOn w:val="Normln"/>
    <w:link w:val="TextbublinyChar"/>
    <w:rsid w:val="001A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1540">
                      <w:marLeft w:val="0"/>
                      <w:marRight w:val="0"/>
                      <w:marTop w:val="0"/>
                      <w:marBottom w:val="188"/>
                      <w:divBdr>
                        <w:top w:val="single" w:sz="18" w:space="0" w:color="38383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7" w:color="D9D9D9"/>
                                <w:right w:val="none" w:sz="0" w:space="0" w:color="auto"/>
                              </w:divBdr>
                            </w:div>
                            <w:div w:id="221017638">
                              <w:marLeft w:val="0"/>
                              <w:marRight w:val="0"/>
                              <w:marTop w:val="0"/>
                              <w:marBottom w:val="1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4018">
                                      <w:marLeft w:val="0"/>
                                      <w:marRight w:val="0"/>
                                      <w:marTop w:val="47"/>
                                      <w:marBottom w:val="1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5" w:color="CAD4E7"/>
                                            <w:left w:val="single" w:sz="4" w:space="0" w:color="CAD4E7"/>
                                            <w:bottom w:val="single" w:sz="4" w:space="0" w:color="CAD4E7"/>
                                            <w:right w:val="single" w:sz="4" w:space="0" w:color="CAD4E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2132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Anna</cp:lastModifiedBy>
  <cp:revision>2</cp:revision>
  <dcterms:created xsi:type="dcterms:W3CDTF">2012-02-21T06:42:00Z</dcterms:created>
  <dcterms:modified xsi:type="dcterms:W3CDTF">2017-12-01T12:25:00Z</dcterms:modified>
</cp:coreProperties>
</file>